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TACNA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TACNA tiene asignado en su presupuesto institucional de apertura un monto de S/ 4,241,062.00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TACNA</w:t>
            </w:r>
          </w:p>
        </w:tc>
        <w:tc>
          <w:tcPr>
            <w:tcW w:type="dxa" w:w="3249"/>
          </w:tcPr>
          <w:p>
            <w:r>
              <w:t>1,577,924</w:t>
            </w:r>
          </w:p>
        </w:tc>
        <w:tc>
          <w:tcPr>
            <w:tcW w:type="dxa" w:w="3249"/>
          </w:tcPr>
          <w:p>
            <w:r>
              <w:t>1,217,112</w:t>
            </w:r>
          </w:p>
        </w:tc>
      </w:tr>
      <w:tr>
        <w:tc>
          <w:tcPr>
            <w:tcW w:type="dxa" w:w="3249"/>
          </w:tcPr>
          <w:p>
            <w:r>
              <w:t>301. UGEL TACNA</w:t>
            </w:r>
          </w:p>
        </w:tc>
        <w:tc>
          <w:tcPr>
            <w:tcW w:type="dxa" w:w="3249"/>
          </w:tcPr>
          <w:p>
            <w:r>
              <w:t>3,543,736</w:t>
            </w:r>
          </w:p>
        </w:tc>
        <w:tc>
          <w:tcPr>
            <w:tcW w:type="dxa" w:w="3249"/>
          </w:tcPr>
          <w:p>
            <w:r>
              <w:t>3,023,950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5,121,660</w:t>
            </w:r>
          </w:p>
        </w:tc>
        <w:tc>
          <w:tcPr>
            <w:tcW w:type="dxa" w:w="3249"/>
          </w:tcPr>
          <w:p>
            <w:r>
              <w:t>4,241,062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TACNA ha recibido un monto S/ 910,000.00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TACNA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TACNA</w:t>
            </w:r>
          </w:p>
        </w:tc>
        <w:tc>
          <w:tcPr>
            <w:tcW w:type="dxa" w:w="1949"/>
          </w:tcPr>
          <w:p>
            <w:r>
              <w:t>1,217,112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275,000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</w:tr>
      <w:tr>
        <w:tc>
          <w:tcPr>
            <w:tcW w:type="dxa" w:w="1949"/>
          </w:tcPr>
          <w:p>
            <w:r>
              <w:t>301. UGEL TACNA</w:t>
            </w:r>
          </w:p>
        </w:tc>
        <w:tc>
          <w:tcPr>
            <w:tcW w:type="dxa" w:w="1949"/>
          </w:tcPr>
          <w:p>
            <w:r>
              <w:t>3,023,950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4,241,062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650,000</w:t>
            </w:r>
          </w:p>
        </w:tc>
        <w:tc>
          <w:tcPr>
            <w:tcW w:type="dxa" w:w="1949"/>
          </w:tcPr>
          <w:p>
            <w:r>
              <w:t>910,000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TACNA ha ejecutado un monto total de S/ 267,963, lo que representa el 6.3%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TACNA implementa un total de 16 de intervenciones y acciones pedagógicas para el Año 2023. Las cinco intervenciones que han recibido mayores recursos en el PIM al 22 de febrero del 2023 son: PRONOEI (2.02 millones), Jornada escolar completa (0.89 millones),  Convivencia escolar  (0.52 millones), CAS UGEL  (0.31 millones) y Servicio hospitalario - SEHO  (0.15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TACNA</w:t>
            </w:r>
          </w:p>
        </w:tc>
        <w:tc>
          <w:tcPr>
            <w:tcW w:type="dxa" w:w="3249"/>
          </w:tcPr>
          <w:p>
            <w:r>
              <w:t>1,577,924</w:t>
            </w:r>
          </w:p>
        </w:tc>
        <w:tc>
          <w:tcPr>
            <w:tcW w:type="dxa" w:w="3249"/>
          </w:tcPr>
          <w:p>
            <w:r>
              <w:t>1,217,112</w:t>
            </w:r>
          </w:p>
        </w:tc>
      </w:tr>
      <w:tr>
        <w:tc>
          <w:tcPr>
            <w:tcW w:type="dxa" w:w="3249"/>
          </w:tcPr>
          <w:p>
            <w:r>
              <w:t>301. UGEL TACNA</w:t>
            </w:r>
          </w:p>
        </w:tc>
        <w:tc>
          <w:tcPr>
            <w:tcW w:type="dxa" w:w="3249"/>
          </w:tcPr>
          <w:p>
            <w:r>
              <w:t>3,543,736</w:t>
            </w:r>
          </w:p>
        </w:tc>
        <w:tc>
          <w:tcPr>
            <w:tcW w:type="dxa" w:w="3249"/>
          </w:tcPr>
          <w:p>
            <w:r>
              <w:t>3,023,950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5,121,660</w:t>
            </w:r>
          </w:p>
        </w:tc>
        <w:tc>
          <w:tcPr>
            <w:tcW w:type="dxa" w:w="3249"/>
          </w:tcPr>
          <w:p>
            <w:r>
              <w:t>4,241,062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Jornada escolar completa, Servicio hospitalario - SEHO, Fortalecimiento PP 0106, Fortalecimiento PP 0107, Convivencia escolar, Acciones comunes PP 0107 , CAS UGEL, Absorción de matrícula, Talleres deportivo recreativos - Wiñaq. Es importante resaltar que Acciones comunes PP 0106, Distribución de materiales educativos, Limpieza y mantenimiento, PP 0147 IEST, PRONOEI, Plan de mejoras PP 0107,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894,150</w:t>
            </w:r>
          </w:p>
        </w:tc>
        <w:tc>
          <w:tcPr>
            <w:tcW w:type="dxa" w:w="2436"/>
          </w:tcPr>
          <w:p>
            <w:r>
              <w:t>164,760</w:t>
            </w:r>
          </w:p>
        </w:tc>
        <w:tc>
          <w:tcPr>
            <w:tcW w:type="dxa" w:w="2436"/>
          </w:tcPr>
          <w:p>
            <w:r>
              <w:t>18.4%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148,370</w:t>
            </w:r>
          </w:p>
        </w:tc>
        <w:tc>
          <w:tcPr>
            <w:tcW w:type="dxa" w:w="2436"/>
          </w:tcPr>
          <w:p>
            <w:r>
              <w:t>18,803</w:t>
            </w:r>
          </w:p>
        </w:tc>
        <w:tc>
          <w:tcPr>
            <w:tcW w:type="dxa" w:w="2436"/>
          </w:tcPr>
          <w:p>
            <w:r>
              <w:t>12.7%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81,396</w:t>
            </w:r>
          </w:p>
        </w:tc>
        <w:tc>
          <w:tcPr>
            <w:tcW w:type="dxa" w:w="2436"/>
          </w:tcPr>
          <w:p>
            <w:r>
              <w:t>9,258</w:t>
            </w:r>
          </w:p>
        </w:tc>
        <w:tc>
          <w:tcPr>
            <w:tcW w:type="dxa" w:w="2436"/>
          </w:tcPr>
          <w:p>
            <w:r>
              <w:t>11.4%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46,944</w:t>
            </w:r>
          </w:p>
        </w:tc>
        <w:tc>
          <w:tcPr>
            <w:tcW w:type="dxa" w:w="2436"/>
          </w:tcPr>
          <w:p>
            <w:r>
              <w:t>5,014</w:t>
            </w:r>
          </w:p>
        </w:tc>
        <w:tc>
          <w:tcPr>
            <w:tcW w:type="dxa" w:w="2436"/>
          </w:tcPr>
          <w:p>
            <w:r>
              <w:t>10.7%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517,898</w:t>
            </w:r>
          </w:p>
        </w:tc>
        <w:tc>
          <w:tcPr>
            <w:tcW w:type="dxa" w:w="2436"/>
          </w:tcPr>
          <w:p>
            <w:r>
              <w:t>44,906</w:t>
            </w:r>
          </w:p>
        </w:tc>
        <w:tc>
          <w:tcPr>
            <w:tcW w:type="dxa" w:w="2436"/>
          </w:tcPr>
          <w:p>
            <w:r>
              <w:t>8.7%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2,800</w:t>
            </w:r>
          </w:p>
        </w:tc>
        <w:tc>
          <w:tcPr>
            <w:tcW w:type="dxa" w:w="2436"/>
          </w:tcPr>
          <w:p>
            <w:r>
              <w:t>8.2%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311,355</w:t>
            </w:r>
          </w:p>
        </w:tc>
        <w:tc>
          <w:tcPr>
            <w:tcW w:type="dxa" w:w="2436"/>
          </w:tcPr>
          <w:p>
            <w:r>
              <w:t>18,498</w:t>
            </w:r>
          </w:p>
        </w:tc>
        <w:tc>
          <w:tcPr>
            <w:tcW w:type="dxa" w:w="2436"/>
          </w:tcPr>
          <w:p>
            <w:r>
              <w:t>5.9%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18,108</w:t>
            </w:r>
          </w:p>
        </w:tc>
        <w:tc>
          <w:tcPr>
            <w:tcW w:type="dxa" w:w="2436"/>
          </w:tcPr>
          <w:p>
            <w:r>
              <w:t>854</w:t>
            </w:r>
          </w:p>
        </w:tc>
        <w:tc>
          <w:tcPr>
            <w:tcW w:type="dxa" w:w="2436"/>
          </w:tcPr>
          <w:p>
            <w:r>
              <w:t>4.7%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3,070</w:t>
            </w:r>
          </w:p>
        </w:tc>
        <w:tc>
          <w:tcPr>
            <w:tcW w:type="dxa" w:w="2436"/>
          </w:tcPr>
          <w:p>
            <w:r>
              <w:t>3.7%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9,855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2,023,260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32,820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4,241,062</w:t>
            </w:r>
          </w:p>
        </w:tc>
        <w:tc>
          <w:tcPr>
            <w:tcW w:type="dxa" w:w="2436"/>
          </w:tcPr>
          <w:p>
            <w:r>
              <w:t>267,963</w:t>
            </w:r>
          </w:p>
        </w:tc>
        <w:tc>
          <w:tcPr>
            <w:tcW w:type="dxa" w:w="2436"/>
          </w:tcPr>
          <w:p>
            <w:r>
              <w:t>84.3%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